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50876a53398b0435a" w:history="1">
        <w:r>
          <w:rPr>
            <w:rFonts w:ascii="Times New Roman" w:hAnsi="Times New Roman" w:eastAsia="Times New Roman" w:cs="Times New Roman"/>
            <w:b/>
            <w:bCs/>
            <w:color w:val="0000CC"/>
            <w:sz w:val="28"/>
            <w:szCs w:val="28"/>
            <w:u w:val="single"/>
          </w:rPr>
          <w:t xml:space="preserve">Finanzas en pareja: El Reto</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(2026-02-13), Reporte Índigo, pág. 1, 12 - 13, Elizabeth González, (Nota Informativa) - [1,950.00 cm2] Precio $332,222.00</w:t>
      </w:r>
      <w:r>
        <w:rPr>
          <w:rFonts w:ascii="Times New Roman" w:hAnsi="Times New Roman" w:eastAsia="Times New Roman" w:cs="Times New Roman"/>
          <w:color w:val="323232"/>
          <w:sz w:val="24"/>
          <w:szCs w:val="24"/>
        </w:rPr>
        <w:br/>
        <w:t xml:space="preserve">FINANZAS EN PAREJA:</w:t>
      </w:r>
      <w:r>
        <w:rPr>
          <w:rFonts w:ascii="Times New Roman" w:hAnsi="Times New Roman" w:eastAsia="Times New Roman" w:cs="Times New Roman"/>
          <w:color w:val="323232"/>
          <w:sz w:val="24"/>
          <w:szCs w:val="24"/>
        </w:rPr>
        <w:br/>
        <w:br/>
        <w:t xml:space="preserve">EL RETO</w:t>
      </w:r>
      <w:r>
        <w:rPr>
          <w:rFonts w:ascii="Times New Roman" w:hAnsi="Times New Roman" w:eastAsia="Times New Roman" w:cs="Times New Roman"/>
          <w:color w:val="323232"/>
          <w:sz w:val="24"/>
          <w:szCs w:val="24"/>
        </w:rPr>
        <w:br/>
        <w:br/>
        <w:t xml:space="preserve">Sumar y administrar los ingresos al interior de un hogar, puede tornarse en uno de los aspectos más complicados de la vida en pareja, pues las tensiones emanadas de las decisiones financieras pondrían en desventaja a uno de los miembros e, incluso, terminar con su unión</w:t>
      </w:r>
      <w:r>
        <w:rPr>
          <w:rFonts w:ascii="Times New Roman" w:hAnsi="Times New Roman" w:eastAsia="Times New Roman" w:cs="Times New Roman"/>
          <w:color w:val="323232"/>
          <w:sz w:val="24"/>
          <w:szCs w:val="24"/>
        </w:rPr>
        <w:br/>
        <w:br/>
        <w:t xml:space="preserve">7 500326 125430 $10.00</w:t>
      </w:r>
      <w:r>
        <w:rPr>
          <w:rFonts w:ascii="Times New Roman" w:hAnsi="Times New Roman" w:eastAsia="Times New Roman" w:cs="Times New Roman"/>
          <w:color w:val="323232"/>
          <w:sz w:val="24"/>
          <w:szCs w:val="24"/>
        </w:rPr>
        <w:br/>
        <w:br/>
        <w:t xml:space="preserve">FINANZAS EN PAREJA: EL RETO</w:t>
      </w:r>
      <w:r>
        <w:rPr>
          <w:rFonts w:ascii="Times New Roman" w:hAnsi="Times New Roman" w:eastAsia="Times New Roman" w:cs="Times New Roman"/>
          <w:color w:val="323232"/>
          <w:sz w:val="24"/>
          <w:szCs w:val="24"/>
        </w:rPr>
        <w:br/>
        <w:br/>
        <w:t xml:space="preserve">Sumar y administrar los ingresos al interior de un hogar, puede tornarse en uno de los aspectos más complicados de la vida en pareja, pues las tensiones emanadas de las decisiones financieras pondrían en desventaja a uno de los miembros e, incluso, terminar con su unión</w:t>
      </w:r>
      <w:r>
        <w:rPr>
          <w:rFonts w:ascii="Times New Roman" w:hAnsi="Times New Roman" w:eastAsia="Times New Roman" w:cs="Times New Roman"/>
          <w:color w:val="323232"/>
          <w:sz w:val="24"/>
          <w:szCs w:val="24"/>
        </w:rPr>
        <w:br/>
        <w:br/>
        <w:t xml:space="preserve">POR ELIZABETH</w:t>
      </w:r>
      <w:r>
        <w:rPr>
          <w:rFonts w:ascii="Times New Roman" w:hAnsi="Times New Roman" w:eastAsia="Times New Roman" w:cs="Times New Roman"/>
          <w:color w:val="323232"/>
          <w:sz w:val="24"/>
          <w:szCs w:val="24"/>
        </w:rPr>
        <w:br/>
        <w:br/>
        <w:t xml:space="preserve">GONZÁLEZ MANRIQUE @Elisagmr</w:t>
      </w:r>
      <w:r>
        <w:rPr>
          <w:rFonts w:ascii="Times New Roman" w:hAnsi="Times New Roman" w:eastAsia="Times New Roman" w:cs="Times New Roman"/>
          <w:color w:val="323232"/>
          <w:sz w:val="24"/>
          <w:szCs w:val="24"/>
        </w:rPr>
        <w:br/>
        <w:br/>
        <w:t xml:space="preserve">U no de los pilares menos discutidos de la vida en pareja, pero más determinante, es el dinero. De él depende no solo la estabilidad cotidiana, sino también la calidad de vida, las oportunidades futuras y la capacidad de enfrentar crisis. La economía doméstica no es un asunto privado aislado: refleja y reproduce desigualdades estructurales que atraviesan a la sociedad.</w:t>
      </w:r>
      <w:r>
        <w:rPr>
          <w:rFonts w:ascii="Times New Roman" w:hAnsi="Times New Roman" w:eastAsia="Times New Roman" w:cs="Times New Roman"/>
          <w:color w:val="323232"/>
          <w:sz w:val="24"/>
          <w:szCs w:val="24"/>
        </w:rPr>
        <w:br/>
        <w:br/>
        <w:t xml:space="preserve">La gestión conjunta de los recurSOS, lejos de ser un ejercicio neutral, se ve atravesada por diferencias de ingresos, estabilidad laboral y acceso a oportunidades. Dentro de un mismo hogar, las brechas salariales entre hombres y mujeres siguen siendo significativas.</w:t>
      </w:r>
      <w:r>
        <w:rPr>
          <w:rFonts w:ascii="Times New Roman" w:hAnsi="Times New Roman" w:eastAsia="Times New Roman" w:cs="Times New Roman"/>
          <w:color w:val="323232"/>
          <w:sz w:val="24"/>
          <w:szCs w:val="24"/>
        </w:rPr>
        <w:br/>
        <w:br/>
        <w:t xml:space="preserve">Cuando uno de los miembros, en la mayoría de ocasiones la mujer, percibe menores ingresos, enfrenta interrupciones laborales por tareas de cuidado o participa en empleos informales, la distribución del poder económico se desbalancea.</w:t>
      </w:r>
      <w:r>
        <w:rPr>
          <w:rFonts w:ascii="Times New Roman" w:hAnsi="Times New Roman" w:eastAsia="Times New Roman" w:cs="Times New Roman"/>
          <w:color w:val="323232"/>
          <w:sz w:val="24"/>
          <w:szCs w:val="24"/>
        </w:rPr>
        <w:br/>
        <w:br/>
        <w:t xml:space="preserve">La economía en pareja, entonces, no se reduce a dividir gastos o acordar quién paga qué, sino que implica discutir autonomía, previsión, ahorro, patrimonio y retiro. También incluye reconocer que reglas y acuerdos tradicionales, como asumir que quien gana más, cuenta con mayor poder de decisión en lo que concierne a la familia; o que el ingreso masculino es el principal, no solo perpetúan desigualdades, sino que colocan a las mujeres en situaciones de dependencia financiera.</w:t>
      </w:r>
      <w:r>
        <w:rPr>
          <w:rFonts w:ascii="Times New Roman" w:hAnsi="Times New Roman" w:eastAsia="Times New Roman" w:cs="Times New Roman"/>
          <w:color w:val="323232"/>
          <w:sz w:val="24"/>
          <w:szCs w:val="24"/>
        </w:rPr>
        <w:br/>
        <w:br/>
        <w:t xml:space="preserve">Estas cifras y dinámicas ponen de manifiesto la necesidad de una planificación financiera en pareja que supere los acuerdos implícitos o culturales, pues se requiere incorporar herramientas formales, transparencia, corresponsabilidad y diálogo estratégico desde etapas tempranas de la relación.</w:t>
      </w:r>
      <w:r>
        <w:rPr>
          <w:rFonts w:ascii="Times New Roman" w:hAnsi="Times New Roman" w:eastAsia="Times New Roman" w:cs="Times New Roman"/>
          <w:color w:val="323232"/>
          <w:sz w:val="24"/>
          <w:szCs w:val="24"/>
        </w:rPr>
        <w:br/>
        <w:br/>
        <w:t xml:space="preserve">GASTOS Y TENSIÓN</w:t>
      </w:r>
      <w:r>
        <w:rPr>
          <w:rFonts w:ascii="Times New Roman" w:hAnsi="Times New Roman" w:eastAsia="Times New Roman" w:cs="Times New Roman"/>
          <w:color w:val="323232"/>
          <w:sz w:val="24"/>
          <w:szCs w:val="24"/>
        </w:rPr>
        <w:br/>
        <w:br/>
        <w:t xml:space="preserve">La Encuesta Nacional sobre Salud Financiera (ENSAFI) 2023 revela que más del 45 por ciento de las personas llega al final del mes sin dinero disponible, mientras que 34.6 por ciento tiene nula o escasa capacidad para enfrentar gastos imprevistos, lo que significa que casi la mitad de los hogares opera al límite.</w:t>
      </w:r>
      <w:r>
        <w:rPr>
          <w:rFonts w:ascii="Times New Roman" w:hAnsi="Times New Roman" w:eastAsia="Times New Roman" w:cs="Times New Roman"/>
          <w:color w:val="323232"/>
          <w:sz w:val="24"/>
          <w:szCs w:val="24"/>
        </w:rPr>
        <w:br/>
        <w:br/>
        <w:t xml:space="preserve">Esta investigación del INEGI también destaca que la capacidad para afrontar este tipo de gastos es menor en las mujeres, pues 38.3 por ciento de ellas report nula o poca capacidad para hacerlo, mientras que solo 30.1 por ciento de los hombres aseguraron estar en esta situación.</w:t>
      </w:r>
      <w:r>
        <w:rPr>
          <w:rFonts w:ascii="Times New Roman" w:hAnsi="Times New Roman" w:eastAsia="Times New Roman" w:cs="Times New Roman"/>
          <w:color w:val="323232"/>
          <w:sz w:val="24"/>
          <w:szCs w:val="24"/>
        </w:rPr>
        <w:br/>
        <w:br/>
        <w:t xml:space="preserve">Adicionalmente, 36.9 por ciento de las personas mayores de edad reportaron contar con un alto nivel de estrés financiero.</w:t>
      </w:r>
      <w:r>
        <w:rPr>
          <w:rFonts w:ascii="Times New Roman" w:hAnsi="Times New Roman" w:eastAsia="Times New Roman" w:cs="Times New Roman"/>
          <w:color w:val="323232"/>
          <w:sz w:val="24"/>
          <w:szCs w:val="24"/>
        </w:rPr>
        <w:br/>
        <w:br/>
        <w:t xml:space="preserve">En este contexto de fragilidad económica generalizada, donde de acuerdo con la ENSAFI más del 50 por ciento de los hogares no alcanzan a cumplir con un nivel básico de bienestar financiero, cualquier decisión financiera compartida se convierte en un terreno de tensión.</w:t>
      </w:r>
      <w:r>
        <w:rPr>
          <w:rFonts w:ascii="Times New Roman" w:hAnsi="Times New Roman" w:eastAsia="Times New Roman" w:cs="Times New Roman"/>
          <w:color w:val="323232"/>
          <w:sz w:val="24"/>
          <w:szCs w:val="24"/>
        </w:rPr>
        <w:br/>
        <w:br/>
        <w:t xml:space="preserve">Ricardo Chavero, CEO y fundador de netWorth, empresa mexicana enfocada en democratizar la pla nificación financiera y el acceso a productos de inversión en México, menciona que ante este panorama, las parejas deben contar con acuerdos claros al respecto.</w:t>
      </w:r>
      <w:r>
        <w:rPr>
          <w:rFonts w:ascii="Times New Roman" w:hAnsi="Times New Roman" w:eastAsia="Times New Roman" w:cs="Times New Roman"/>
          <w:color w:val="323232"/>
          <w:sz w:val="24"/>
          <w:szCs w:val="24"/>
        </w:rPr>
        <w:br/>
        <w:br/>
        <w:t xml:space="preserve">"La convivencia implica decisiones económicas compartidas, pero muchas parejas no cuentan con una estructura clara para administrar sus finanzas. Más allá de dividir gastos a la mitad, es importante construir un plan conjunto que considere ingreSOS y objetivos de ahorro, además de cómo cada miembro aporta al bienestar del hogar", explica.</w:t>
      </w:r>
      <w:r>
        <w:rPr>
          <w:rFonts w:ascii="Times New Roman" w:hAnsi="Times New Roman" w:eastAsia="Times New Roman" w:cs="Times New Roman"/>
          <w:color w:val="323232"/>
          <w:sz w:val="24"/>
          <w:szCs w:val="24"/>
        </w:rPr>
        <w:br/>
        <w:br/>
        <w:t xml:space="preserve">De acuerdo con netWorth, respecto a las finanzas en pareja, el desafío no solo se limita a dividir los gastos del hogar, sino también alinear prioridades como ahorro para emergencias y el retiro, objetivos a corto y largo plazo, y preparación para eventos como la compra de vivienda.</w:t>
      </w:r>
      <w:r>
        <w:rPr>
          <w:rFonts w:ascii="Times New Roman" w:hAnsi="Times New Roman" w:eastAsia="Times New Roman" w:cs="Times New Roman"/>
          <w:color w:val="323232"/>
          <w:sz w:val="24"/>
          <w:szCs w:val="24"/>
        </w:rPr>
        <w:br/>
        <w:br/>
        <w:t xml:space="preserve">Elizabeth Ríos, ama de casa de51 años de edad, menciona que, tras un problema inicial, en el que su esposo se molestó por una compra, decidió administrar sus ingresos de manera unilateral, solo cubriendo algunos de sus gastos y guardando un fondo de emergencias.</w:t>
      </w:r>
      <w:r>
        <w:rPr>
          <w:rFonts w:ascii="Times New Roman" w:hAnsi="Times New Roman" w:eastAsia="Times New Roman" w:cs="Times New Roman"/>
          <w:color w:val="323232"/>
          <w:sz w:val="24"/>
          <w:szCs w:val="24"/>
        </w:rPr>
        <w:br/>
        <w:br/>
        <w:t xml:space="preserve">"En casa había dos sueldos, ahora solo hay uno con lo complicadas que están las finanzas, yo ya no trabajo como antes, así que él se encarga de pagar todo, nos apretamos el cinturón pero ahíla llevamos. Cuando yo trabajaba mi dinero lo usaba para 'gustitos' y guardaba algo para emergencias, pero, desde un inicio yo no metí 50, pues siempre le mandaba dinero a mi mamá y el resto lo guardaba.</w:t>
      </w:r>
      <w:r>
        <w:rPr>
          <w:rFonts w:ascii="Times New Roman" w:hAnsi="Times New Roman" w:eastAsia="Times New Roman" w:cs="Times New Roman"/>
          <w:color w:val="323232"/>
          <w:sz w:val="24"/>
          <w:szCs w:val="24"/>
        </w:rPr>
        <w:br/>
        <w:br/>
        <w:t xml:space="preserve">Elizabeth relata que cuando empezóa vivir con su esposo discutieron porque ella quería comprarse un par de zapatos y él se enojó: "pero yo me ponía unas friegas de perro bailarín como para no merecer un par de zapatos, por eso decidí guardar todo mi dinero, lo depositaba a la cuenta de mi mamá, y de ahí no se movía ni un peso. Hoy, soy de las que 'estira la mano' y solo le digo lo que necesitamos y él sabe cómo sacar los gastos adelante", relata.</w:t>
      </w:r>
      <w:r>
        <w:rPr>
          <w:rFonts w:ascii="Times New Roman" w:hAnsi="Times New Roman" w:eastAsia="Times New Roman" w:cs="Times New Roman"/>
          <w:color w:val="323232"/>
          <w:sz w:val="24"/>
          <w:szCs w:val="24"/>
        </w:rPr>
        <w:br/>
        <w:br/>
        <w:t xml:space="preserve">Por su parte, la Institución de Banca Múltiple, BBVA, identifica que la creación de un presupuesto en pareja, puede ser uno de los puntos complicados en una relación.</w:t>
      </w:r>
      <w:r>
        <w:rPr>
          <w:rFonts w:ascii="Times New Roman" w:hAnsi="Times New Roman" w:eastAsia="Times New Roman" w:cs="Times New Roman"/>
          <w:color w:val="323232"/>
          <w:sz w:val="24"/>
          <w:szCs w:val="24"/>
        </w:rPr>
        <w:br/>
        <w:br/>
        <w:t xml:space="preserve">"El dinero puede ser una fuente de preocupación cuando se está soltero o soltera, pero posiblemente ocasiona más estrés cuando te encuentras en una relación. Discutir por situaciones relacionadas con las finanzas en pareja es algo que a muchas personas les pasa y que no es necesariamente tratado con la atención que merece", puntualiza.</w:t>
      </w:r>
      <w:r>
        <w:rPr>
          <w:rFonts w:ascii="Times New Roman" w:hAnsi="Times New Roman" w:eastAsia="Times New Roman" w:cs="Times New Roman"/>
          <w:color w:val="323232"/>
          <w:sz w:val="24"/>
          <w:szCs w:val="24"/>
        </w:rPr>
        <w:br/>
        <w:br/>
        <w:t xml:space="preserve">Las brechas de ingresos y empleo informal en las mujeres provocan desequilibrios de poder económico dentro de los hogares. En la mayoría de los casos el hombre gana más</w:t>
      </w:r>
      <w:r>
        <w:rPr>
          <w:rFonts w:ascii="Times New Roman" w:hAnsi="Times New Roman" w:eastAsia="Times New Roman" w:cs="Times New Roman"/>
          <w:color w:val="323232"/>
          <w:sz w:val="24"/>
          <w:szCs w:val="24"/>
        </w:rPr>
        <w:br/>
        <w:br/>
        <w:t xml:space="preserve">Más allá de dividir gastos a la mitad, es importante construir un plan conjunto que considere ingresos y objetivos de ahorro, además de cómo cada miembro aporta al bienestar del hogar" Ricardo Chavero CEO y fundador de netWorth</w:t>
      </w:r>
      <w:r>
        <w:rPr>
          <w:rFonts w:ascii="Times New Roman" w:hAnsi="Times New Roman" w:eastAsia="Times New Roman" w:cs="Times New Roman"/>
          <w:color w:val="323232"/>
          <w:sz w:val="24"/>
          <w:szCs w:val="24"/>
        </w:rPr>
        <w:br/>
        <w:br/>
        <w:t xml:space="preserve">CAPACIDAD FINANCIERA El manejo de las finanzas familiares se convierte en un desafío constante, de acuerdo con estadísticas del INEGI 45% de las personas llega al final del mes sin dinero disponible 34.6% de la población tiene nula o escasa capacidad para enfrentar gastos imprevistos 38.3% de las mujeres reportó nula o poca capacidad para hacer frente a gastos inesperados 36.9% de las personas mayores de edad reportaron contar con un alto nivel de estrés financiero 50% de los hogares mexicanos, en promedio, no alcanzan a cumplir con un nivel básico de bienestar financiero Fuente: Encuesta Nacional sobre Salud Financiera (ENSAFI) 2023</w:t>
      </w:r>
      <w:r>
        <w:rPr>
          <w:rFonts w:ascii="Times New Roman" w:hAnsi="Times New Roman" w:eastAsia="Times New Roman" w:cs="Times New Roman"/>
          <w:color w:val="323232"/>
          <w:sz w:val="24"/>
          <w:szCs w:val="24"/>
        </w:rPr>
        <w:br/>
        <w:br/>
        <w:t xml:space="preserve">El manejo de las finanzas familiares se convierte en un desafío constante, de acuerdo con estadísticas del INEGI</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718019">
    <w:multiLevelType w:val="hybridMultilevel"/>
    <w:lvl w:ilvl="0" w:tplc="67491335">
      <w:start w:val="1"/>
      <w:numFmt w:val="decimal"/>
      <w:lvlText w:val="%1."/>
      <w:lvlJc w:val="left"/>
      <w:pPr>
        <w:ind w:left="720" w:hanging="360"/>
      </w:pPr>
    </w:lvl>
    <w:lvl w:ilvl="1" w:tplc="67491335" w:tentative="1">
      <w:start w:val="1"/>
      <w:numFmt w:val="lowerLetter"/>
      <w:lvlText w:val="%2."/>
      <w:lvlJc w:val="left"/>
      <w:pPr>
        <w:ind w:left="1440" w:hanging="360"/>
      </w:pPr>
    </w:lvl>
    <w:lvl w:ilvl="2" w:tplc="67491335" w:tentative="1">
      <w:start w:val="1"/>
      <w:numFmt w:val="lowerRoman"/>
      <w:lvlText w:val="%3."/>
      <w:lvlJc w:val="right"/>
      <w:pPr>
        <w:ind w:left="2160" w:hanging="180"/>
      </w:pPr>
    </w:lvl>
    <w:lvl w:ilvl="3" w:tplc="67491335" w:tentative="1">
      <w:start w:val="1"/>
      <w:numFmt w:val="decimal"/>
      <w:lvlText w:val="%4."/>
      <w:lvlJc w:val="left"/>
      <w:pPr>
        <w:ind w:left="2880" w:hanging="360"/>
      </w:pPr>
    </w:lvl>
    <w:lvl w:ilvl="4" w:tplc="67491335" w:tentative="1">
      <w:start w:val="1"/>
      <w:numFmt w:val="lowerLetter"/>
      <w:lvlText w:val="%5."/>
      <w:lvlJc w:val="left"/>
      <w:pPr>
        <w:ind w:left="3600" w:hanging="360"/>
      </w:pPr>
    </w:lvl>
    <w:lvl w:ilvl="5" w:tplc="67491335" w:tentative="1">
      <w:start w:val="1"/>
      <w:numFmt w:val="lowerRoman"/>
      <w:lvlText w:val="%6."/>
      <w:lvlJc w:val="right"/>
      <w:pPr>
        <w:ind w:left="4320" w:hanging="180"/>
      </w:pPr>
    </w:lvl>
    <w:lvl w:ilvl="6" w:tplc="67491335" w:tentative="1">
      <w:start w:val="1"/>
      <w:numFmt w:val="decimal"/>
      <w:lvlText w:val="%7."/>
      <w:lvlJc w:val="left"/>
      <w:pPr>
        <w:ind w:left="5040" w:hanging="360"/>
      </w:pPr>
    </w:lvl>
    <w:lvl w:ilvl="7" w:tplc="67491335" w:tentative="1">
      <w:start w:val="1"/>
      <w:numFmt w:val="lowerLetter"/>
      <w:lvlText w:val="%8."/>
      <w:lvlJc w:val="left"/>
      <w:pPr>
        <w:ind w:left="5760" w:hanging="360"/>
      </w:pPr>
    </w:lvl>
    <w:lvl w:ilvl="8" w:tplc="67491335" w:tentative="1">
      <w:start w:val="1"/>
      <w:numFmt w:val="lowerRoman"/>
      <w:lvlText w:val="%9."/>
      <w:lvlJc w:val="right"/>
      <w:pPr>
        <w:ind w:left="6480" w:hanging="180"/>
      </w:pPr>
    </w:lvl>
  </w:abstractNum>
  <w:abstractNum w:abstractNumId="46718018">
    <w:multiLevelType w:val="hybridMultilevel"/>
    <w:lvl w:ilvl="0" w:tplc="12278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718018">
    <w:abstractNumId w:val="46718018"/>
  </w:num>
  <w:num w:numId="46718019">
    <w:abstractNumId w:val="467180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878646255" Type="http://schemas.openxmlformats.org/officeDocument/2006/relationships/numbering" Target="numbering.xml"/><Relationship Id="rId714591472" Type="http://schemas.openxmlformats.org/officeDocument/2006/relationships/comments" Target="comments.xml"/><Relationship Id="rId50876a53398b0435a" Type="http://schemas.openxmlformats.org/officeDocument/2006/relationships/hyperlink" Target="https://www.efinf.com/clipviewer/ebcb7888d157744db2034d915f92669b?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